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Proposal Form – Creativity in Higher Education Special Issue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100"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3">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application of creative approaches to pedagogy is an established and current area of investigation, but to date, there has been limited consideration in the context of tertiary education settings and cross- disciplinary approaches (Gregerson et al., 2013; Harris, 2016; Lemetty et al., 2021). This special issue of the Journal of Perspectives in Applied Academic Practice seeks to begin to address this gap.</w:t>
      </w:r>
    </w:p>
    <w:p w:rsidR="00000000" w:rsidDel="00000000" w:rsidP="00000000" w:rsidRDefault="00000000" w:rsidRPr="00000000" w14:paraId="00000004">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Proposals are invited to explore creativity for learning and teaching in tertiary contexts, including those outside formal education settings. Cross-disciplinary approaches are welcome, as well as perspectives from a wide range of curriculum areas, and international settings. </w:t>
      </w:r>
    </w:p>
    <w:p w:rsidR="00000000" w:rsidDel="00000000" w:rsidP="00000000" w:rsidRDefault="00000000" w:rsidRPr="00000000" w14:paraId="00000005">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guest editor for this special issue is Dr Lesley Mickel, Research Enhancement Lead for Creative Practice at UHI Inverness, and </w:t>
      </w:r>
      <w:r w:rsidDel="00000000" w:rsidR="00000000" w:rsidRPr="00000000">
        <w:rPr>
          <w:rFonts w:ascii="Calibri" w:cs="Calibri" w:eastAsia="Calibri" w:hAnsi="Calibri"/>
          <w:sz w:val="22"/>
          <w:szCs w:val="22"/>
          <w:rtl w:val="0"/>
        </w:rPr>
        <w:t xml:space="preserve">organiser</w:t>
      </w:r>
      <w:r w:rsidDel="00000000" w:rsidR="00000000" w:rsidRPr="00000000">
        <w:rPr>
          <w:rFonts w:ascii="Calibri" w:cs="Calibri" w:eastAsia="Calibri" w:hAnsi="Calibri"/>
          <w:sz w:val="22"/>
          <w:szCs w:val="22"/>
          <w:rtl w:val="0"/>
        </w:rPr>
        <w:t xml:space="preserve"> of the spring 2024 online festival of creativity and learning, ‘Creativity in and out of the Classroom’,  jointly hosted by the UHI Learning and Teaching Academy and Centre for Living Sustainability.</w:t>
      </w:r>
    </w:p>
    <w:p w:rsidR="00000000" w:rsidDel="00000000" w:rsidP="00000000" w:rsidRDefault="00000000" w:rsidRPr="00000000" w14:paraId="00000006">
      <w:pP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spacing w:after="160" w:line="259"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Submissions should consider these underpinning questions.</w:t>
      </w:r>
    </w:p>
    <w:p w:rsidR="00000000" w:rsidDel="00000000" w:rsidP="00000000" w:rsidRDefault="00000000" w:rsidRPr="00000000" w14:paraId="00000008">
      <w:pPr>
        <w:numPr>
          <w:ilvl w:val="0"/>
          <w:numId w:val="1"/>
        </w:numPr>
        <w:spacing w:after="0" w:line="240" w:lineRule="auto"/>
        <w:ind w:left="720" w:hanging="360"/>
        <w:rPr>
          <w:b w:val="1"/>
          <w:sz w:val="22"/>
          <w:szCs w:val="22"/>
        </w:rPr>
      </w:pPr>
      <w:r w:rsidDel="00000000" w:rsidR="00000000" w:rsidRPr="00000000">
        <w:rPr>
          <w:rFonts w:ascii="Calibri" w:cs="Calibri" w:eastAsia="Calibri" w:hAnsi="Calibri"/>
          <w:b w:val="1"/>
          <w:sz w:val="22"/>
          <w:szCs w:val="22"/>
          <w:rtl w:val="0"/>
        </w:rPr>
        <w:t xml:space="preserve">How do we</w:t>
      </w:r>
      <w:r w:rsidDel="00000000" w:rsidR="00000000" w:rsidRPr="00000000">
        <w:rPr>
          <w:rFonts w:ascii="Calibri" w:cs="Calibri" w:eastAsia="Calibri" w:hAnsi="Calibri"/>
          <w:b w:val="1"/>
          <w:sz w:val="22"/>
          <w:szCs w:val="22"/>
          <w:rtl w:val="0"/>
        </w:rPr>
        <w:t xml:space="preserve"> teach creative practice and creative thinking?</w:t>
      </w:r>
    </w:p>
    <w:p w:rsidR="00000000" w:rsidDel="00000000" w:rsidP="00000000" w:rsidRDefault="00000000" w:rsidRPr="00000000" w14:paraId="00000009">
      <w:pPr>
        <w:spacing w:after="0" w:line="240" w:lineRule="auto"/>
        <w:ind w:left="72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720" w:hanging="360"/>
        <w:rPr>
          <w:b w:val="1"/>
          <w:sz w:val="22"/>
          <w:szCs w:val="22"/>
        </w:rPr>
      </w:pPr>
      <w:r w:rsidDel="00000000" w:rsidR="00000000" w:rsidRPr="00000000">
        <w:rPr>
          <w:rFonts w:ascii="Calibri" w:cs="Calibri" w:eastAsia="Calibri" w:hAnsi="Calibri"/>
          <w:b w:val="1"/>
          <w:sz w:val="22"/>
          <w:szCs w:val="22"/>
          <w:rtl w:val="0"/>
        </w:rPr>
        <w:t xml:space="preserve">How can creative practices enhance learning and teaching across a range of disciplines?</w:t>
      </w:r>
    </w:p>
    <w:p w:rsidR="00000000" w:rsidDel="00000000" w:rsidP="00000000" w:rsidRDefault="00000000" w:rsidRPr="00000000" w14:paraId="0000000B">
      <w:pPr>
        <w:spacing w:after="0" w:line="240" w:lineRule="auto"/>
        <w:ind w:left="72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spacing w:after="0" w:line="24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Relevant contexts may include the following.</w:t>
      </w:r>
    </w:p>
    <w:p w:rsidR="00000000" w:rsidDel="00000000" w:rsidP="00000000" w:rsidRDefault="00000000" w:rsidRPr="00000000" w14:paraId="0000000E">
      <w:pPr>
        <w:numPr>
          <w:ilvl w:val="0"/>
          <w:numId w:val="2"/>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How creative practice and thinking can be used across disciplines and across academic levels to facilitate creative learning environments.</w:t>
      </w:r>
    </w:p>
    <w:p w:rsidR="00000000" w:rsidDel="00000000" w:rsidP="00000000" w:rsidRDefault="00000000" w:rsidRPr="00000000" w14:paraId="0000000F">
      <w:pPr>
        <w:numPr>
          <w:ilvl w:val="0"/>
          <w:numId w:val="2"/>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How creative pedagogies and practice can enhance student engagement and knowledge through curriculum and activity design.</w:t>
      </w:r>
    </w:p>
    <w:p w:rsidR="00000000" w:rsidDel="00000000" w:rsidP="00000000" w:rsidRDefault="00000000" w:rsidRPr="00000000" w14:paraId="00000010">
      <w:pPr>
        <w:numPr>
          <w:ilvl w:val="0"/>
          <w:numId w:val="2"/>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Conceptualisation and characterisation of creative curricula.</w:t>
      </w:r>
    </w:p>
    <w:p w:rsidR="00000000" w:rsidDel="00000000" w:rsidP="00000000" w:rsidRDefault="00000000" w:rsidRPr="00000000" w14:paraId="00000011">
      <w:pPr>
        <w:numPr>
          <w:ilvl w:val="0"/>
          <w:numId w:val="2"/>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How creative pedagogies impact learners’ creative thinking, building skills to think and learn imaginatively, to take risks and to build confidence.</w:t>
      </w:r>
    </w:p>
    <w:p w:rsidR="00000000" w:rsidDel="00000000" w:rsidP="00000000" w:rsidRDefault="00000000" w:rsidRPr="00000000" w14:paraId="00000012">
      <w:pPr>
        <w:numPr>
          <w:ilvl w:val="0"/>
          <w:numId w:val="2"/>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Using creative approaches for teaching delivery to encourage active student participation.</w:t>
      </w:r>
    </w:p>
    <w:p w:rsidR="00000000" w:rsidDel="00000000" w:rsidP="00000000" w:rsidRDefault="00000000" w:rsidRPr="00000000" w14:paraId="00000013">
      <w:pPr>
        <w:numPr>
          <w:ilvl w:val="0"/>
          <w:numId w:val="2"/>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How creative community learning approaches can inform and enhance academic learning and teaching design and delivery.</w:t>
      </w:r>
    </w:p>
    <w:p w:rsidR="00000000" w:rsidDel="00000000" w:rsidP="00000000" w:rsidRDefault="00000000" w:rsidRPr="00000000" w14:paraId="00000014">
      <w:pPr>
        <w:spacing w:after="0" w:line="24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Relevant themes may include the following.</w:t>
      </w:r>
    </w:p>
    <w:p w:rsidR="00000000" w:rsidDel="00000000" w:rsidP="00000000" w:rsidRDefault="00000000" w:rsidRPr="00000000" w14:paraId="00000016">
      <w:pPr>
        <w:numPr>
          <w:ilvl w:val="0"/>
          <w:numId w:val="3"/>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Collaborative creative practice - inter/multi/trans/disciplinary</w:t>
      </w:r>
    </w:p>
    <w:p w:rsidR="00000000" w:rsidDel="00000000" w:rsidP="00000000" w:rsidRDefault="00000000" w:rsidRPr="00000000" w14:paraId="00000017">
      <w:pPr>
        <w:numPr>
          <w:ilvl w:val="0"/>
          <w:numId w:val="3"/>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Creativity for sustainability - practice/impact</w:t>
      </w:r>
    </w:p>
    <w:p w:rsidR="00000000" w:rsidDel="00000000" w:rsidP="00000000" w:rsidRDefault="00000000" w:rsidRPr="00000000" w14:paraId="00000018">
      <w:pPr>
        <w:numPr>
          <w:ilvl w:val="0"/>
          <w:numId w:val="3"/>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Activism - creativity for change</w:t>
      </w:r>
    </w:p>
    <w:p w:rsidR="00000000" w:rsidDel="00000000" w:rsidP="00000000" w:rsidRDefault="00000000" w:rsidRPr="00000000" w14:paraId="00000019">
      <w:pPr>
        <w:numPr>
          <w:ilvl w:val="0"/>
          <w:numId w:val="3"/>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Into the Woods - creative learning journeys through and beyond academia</w:t>
      </w:r>
    </w:p>
    <w:p w:rsidR="00000000" w:rsidDel="00000000" w:rsidP="00000000" w:rsidRDefault="00000000" w:rsidRPr="00000000" w14:paraId="0000001A">
      <w:pPr>
        <w:numPr>
          <w:ilvl w:val="0"/>
          <w:numId w:val="3"/>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Story-telling - student and practitioner creative identity and world building</w:t>
      </w:r>
    </w:p>
    <w:p w:rsidR="00000000" w:rsidDel="00000000" w:rsidP="00000000" w:rsidRDefault="00000000" w:rsidRPr="00000000" w14:paraId="0000001B">
      <w:pPr>
        <w:numPr>
          <w:ilvl w:val="0"/>
          <w:numId w:val="3"/>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Wellbeing - creativity for health and confidence</w:t>
      </w:r>
    </w:p>
    <w:p w:rsidR="00000000" w:rsidDel="00000000" w:rsidP="00000000" w:rsidRDefault="00000000" w:rsidRPr="00000000" w14:paraId="0000001C">
      <w:pPr>
        <w:numPr>
          <w:ilvl w:val="0"/>
          <w:numId w:val="3"/>
        </w:numPr>
        <w:spacing w:after="0" w:line="276" w:lineRule="auto"/>
        <w:ind w:left="720" w:hanging="360"/>
        <w:rPr>
          <w:sz w:val="22"/>
          <w:szCs w:val="22"/>
        </w:rPr>
      </w:pPr>
      <w:r w:rsidDel="00000000" w:rsidR="00000000" w:rsidRPr="00000000">
        <w:rPr>
          <w:rFonts w:ascii="Calibri" w:cs="Calibri" w:eastAsia="Calibri" w:hAnsi="Calibri"/>
          <w:sz w:val="22"/>
          <w:szCs w:val="22"/>
          <w:rtl w:val="0"/>
        </w:rPr>
        <w:t xml:space="preserve">Live and Online - digital creative approaches and delivery</w:t>
      </w:r>
    </w:p>
    <w:p w:rsidR="00000000" w:rsidDel="00000000" w:rsidP="00000000" w:rsidRDefault="00000000" w:rsidRPr="00000000" w14:paraId="0000001D">
      <w:pPr>
        <w:spacing w:after="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spacing w:after="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shd w:fill="ffffff" w:val="clear"/>
        <w:spacing w:after="0"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Gregerson, M. B., Kaufman, J. C., &amp; Snyder, H. T. (2013). </w:t>
      </w:r>
      <w:r w:rsidDel="00000000" w:rsidR="00000000" w:rsidRPr="00000000">
        <w:rPr>
          <w:rFonts w:ascii="Calibri" w:cs="Calibri" w:eastAsia="Calibri" w:hAnsi="Calibri"/>
          <w:i w:val="1"/>
          <w:color w:val="222222"/>
          <w:sz w:val="20"/>
          <w:szCs w:val="20"/>
          <w:rtl w:val="0"/>
        </w:rPr>
        <w:t xml:space="preserve">Teaching creatively and teaching creativity</w:t>
      </w:r>
      <w:r w:rsidDel="00000000" w:rsidR="00000000" w:rsidRPr="00000000">
        <w:rPr>
          <w:rFonts w:ascii="Calibri" w:cs="Calibri" w:eastAsia="Calibri" w:hAnsi="Calibri"/>
          <w:color w:val="222222"/>
          <w:sz w:val="20"/>
          <w:szCs w:val="20"/>
          <w:rtl w:val="0"/>
        </w:rPr>
        <w:t xml:space="preserve">. Springer</w:t>
      </w:r>
    </w:p>
    <w:p w:rsidR="00000000" w:rsidDel="00000000" w:rsidP="00000000" w:rsidRDefault="00000000" w:rsidRPr="00000000" w14:paraId="00000020">
      <w:pPr>
        <w:shd w:fill="ffffff" w:val="clear"/>
        <w:spacing w:after="0"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doi: 10.1007/978-1-4614-5185-3</w:t>
      </w:r>
    </w:p>
    <w:p w:rsidR="00000000" w:rsidDel="00000000" w:rsidP="00000000" w:rsidRDefault="00000000" w:rsidRPr="00000000" w14:paraId="00000021">
      <w:pPr>
        <w:shd w:fill="ffffff" w:val="clear"/>
        <w:spacing w:after="0"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Harris, A. M. (2016). </w:t>
      </w:r>
      <w:r w:rsidDel="00000000" w:rsidR="00000000" w:rsidRPr="00000000">
        <w:rPr>
          <w:rFonts w:ascii="Calibri" w:cs="Calibri" w:eastAsia="Calibri" w:hAnsi="Calibri"/>
          <w:i w:val="1"/>
          <w:color w:val="222222"/>
          <w:sz w:val="20"/>
          <w:szCs w:val="20"/>
          <w:rtl w:val="0"/>
        </w:rPr>
        <w:t xml:space="preserve">Creativity and education</w:t>
      </w:r>
      <w:r w:rsidDel="00000000" w:rsidR="00000000" w:rsidRPr="00000000">
        <w:rPr>
          <w:rFonts w:ascii="Calibri" w:cs="Calibri" w:eastAsia="Calibri" w:hAnsi="Calibri"/>
          <w:color w:val="222222"/>
          <w:sz w:val="20"/>
          <w:szCs w:val="20"/>
          <w:rtl w:val="0"/>
        </w:rPr>
        <w:t xml:space="preserve">. Palgrave Macmillan doi: 10.1057/978-1-137-57224-0</w:t>
      </w:r>
    </w:p>
    <w:p w:rsidR="00000000" w:rsidDel="00000000" w:rsidP="00000000" w:rsidRDefault="00000000" w:rsidRPr="00000000" w14:paraId="00000022">
      <w:pPr>
        <w:shd w:fill="ffffff" w:val="clear"/>
        <w:spacing w:after="0"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Lemmetty, S., Collin, K., </w:t>
      </w:r>
      <w:r w:rsidDel="00000000" w:rsidR="00000000" w:rsidRPr="00000000">
        <w:rPr>
          <w:rFonts w:ascii="Calibri" w:cs="Calibri" w:eastAsia="Calibri" w:hAnsi="Calibri"/>
          <w:color w:val="222222"/>
          <w:sz w:val="20"/>
          <w:szCs w:val="20"/>
          <w:highlight w:val="white"/>
          <w:rtl w:val="0"/>
        </w:rPr>
        <w:t xml:space="preserve">Glăveanu, V.P., &amp; Forsman, P.</w:t>
      </w:r>
      <w:r w:rsidDel="00000000" w:rsidR="00000000" w:rsidRPr="00000000">
        <w:rPr>
          <w:rFonts w:ascii="Calibri" w:cs="Calibri" w:eastAsia="Calibri" w:hAnsi="Calibri"/>
          <w:i w:val="1"/>
          <w:color w:val="222222"/>
          <w:sz w:val="20"/>
          <w:szCs w:val="20"/>
          <w:rtl w:val="0"/>
        </w:rPr>
        <w:t xml:space="preserve"> </w:t>
      </w:r>
      <w:r w:rsidDel="00000000" w:rsidR="00000000" w:rsidRPr="00000000">
        <w:rPr>
          <w:rFonts w:ascii="Calibri" w:cs="Calibri" w:eastAsia="Calibri" w:hAnsi="Calibri"/>
          <w:color w:val="222222"/>
          <w:sz w:val="20"/>
          <w:szCs w:val="20"/>
          <w:rtl w:val="0"/>
        </w:rPr>
        <w:t xml:space="preserve">(Eds) (2021). </w:t>
      </w:r>
      <w:r w:rsidDel="00000000" w:rsidR="00000000" w:rsidRPr="00000000">
        <w:rPr>
          <w:rFonts w:ascii="Calibri" w:cs="Calibri" w:eastAsia="Calibri" w:hAnsi="Calibri"/>
          <w:i w:val="1"/>
          <w:color w:val="222222"/>
          <w:sz w:val="20"/>
          <w:szCs w:val="20"/>
          <w:rtl w:val="0"/>
        </w:rPr>
        <w:t xml:space="preserve">Creativity and learning: Contexts, processes and support</w:t>
      </w:r>
      <w:r w:rsidDel="00000000" w:rsidR="00000000" w:rsidRPr="00000000">
        <w:rPr>
          <w:rFonts w:ascii="Calibri" w:cs="Calibri" w:eastAsia="Calibri" w:hAnsi="Calibri"/>
          <w:color w:val="222222"/>
          <w:sz w:val="20"/>
          <w:szCs w:val="20"/>
          <w:rtl w:val="0"/>
        </w:rPr>
        <w:t xml:space="preserve">. Palgrave Macmillan </w:t>
      </w:r>
    </w:p>
    <w:p w:rsidR="00000000" w:rsidDel="00000000" w:rsidP="00000000" w:rsidRDefault="00000000" w:rsidRPr="00000000" w14:paraId="00000023">
      <w:pPr>
        <w:shd w:fill="ffffff" w:val="clear"/>
        <w:spacing w:after="0"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doi: 10.1007/978-3-030-77066-2</w:t>
      </w:r>
    </w:p>
    <w:p w:rsidR="00000000" w:rsidDel="00000000" w:rsidP="00000000" w:rsidRDefault="00000000" w:rsidRPr="00000000" w14:paraId="00000024">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6">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accept submissions in the following formats.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Original research (5000-7000 words)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Reflective analysis (5000-7000 words)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Case studies (5000-7000 words)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Review papers (5000 to 7000 words)</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the horizon' papers (1500 to 2000 words) </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Opinion pieces (1500 to 2000 words)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 reviews (400 to 750 words).</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 guidance on the article formats you can choose from is available at https://jpaap.ac.uk/index.php/JPAAP/about/submissions.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Proposals should be up to 300 words and include 5 keywords or terms.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100" w:line="276" w:lineRule="auto"/>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Proposals should be submitted to both Lorraine Anderson (lorraineanderson1964@gmail.com) and Lesley Mickel (</w:t>
      </w:r>
      <w:hyperlink r:id="rId6">
        <w:r w:rsidDel="00000000" w:rsidR="00000000" w:rsidRPr="00000000">
          <w:rPr>
            <w:rFonts w:ascii="Calibri" w:cs="Calibri" w:eastAsia="Calibri" w:hAnsi="Calibri"/>
            <w:b w:val="1"/>
            <w:color w:val="1155cc"/>
            <w:sz w:val="22"/>
            <w:szCs w:val="22"/>
            <w:u w:val="single"/>
            <w:rtl w:val="0"/>
          </w:rPr>
          <w:t xml:space="preserve">Lesley.Mickel.ic@uhi.ac.uk</w:t>
        </w:r>
      </w:hyperlink>
      <w:r w:rsidDel="00000000" w:rsidR="00000000" w:rsidRPr="00000000">
        <w:rPr>
          <w:rFonts w:ascii="Calibri" w:cs="Calibri" w:eastAsia="Calibri" w:hAnsi="Calibri"/>
          <w:b w:val="1"/>
          <w:sz w:val="22"/>
          <w:szCs w:val="22"/>
          <w:rtl w:val="0"/>
        </w:rPr>
        <w:t xml:space="preserve">) by 20 May 2024 using this proposal form.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6">
      <w:pPr>
        <w:spacing w:before="10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Please also provide a short bio (of 50 words) for each author.</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Authors will be contacted </w:t>
      </w:r>
      <w:r w:rsidDel="00000000" w:rsidR="00000000" w:rsidRPr="00000000">
        <w:rPr>
          <w:rFonts w:ascii="Calibri" w:cs="Calibri" w:eastAsia="Calibri" w:hAnsi="Calibri"/>
          <w:b w:val="1"/>
          <w:sz w:val="22"/>
          <w:szCs w:val="22"/>
          <w:rtl w:val="0"/>
        </w:rPr>
        <w:t xml:space="preserve">31 May 2024</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Full papers must be submitted by </w:t>
      </w:r>
      <w:r w:rsidDel="00000000" w:rsidR="00000000" w:rsidRPr="00000000">
        <w:rPr>
          <w:rFonts w:ascii="Calibri" w:cs="Calibri" w:eastAsia="Calibri" w:hAnsi="Calibri"/>
          <w:b w:val="1"/>
          <w:sz w:val="22"/>
          <w:szCs w:val="22"/>
          <w:rtl w:val="0"/>
        </w:rPr>
        <w:t xml:space="preserve">3 October 2024</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Publication of the Special Issue is expected in </w:t>
      </w:r>
      <w:r w:rsidDel="00000000" w:rsidR="00000000" w:rsidRPr="00000000">
        <w:rPr>
          <w:rFonts w:ascii="Calibri" w:cs="Calibri" w:eastAsia="Calibri" w:hAnsi="Calibri"/>
          <w:b w:val="1"/>
          <w:sz w:val="22"/>
          <w:szCs w:val="22"/>
          <w:rtl w:val="0"/>
        </w:rPr>
        <w:t xml:space="preserve">December 2024.</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1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pStyle w:val="Heading1"/>
        <w:ind w:firstLine="113"/>
        <w:rPr/>
      </w:pPr>
      <w:r w:rsidDel="00000000" w:rsidR="00000000" w:rsidRPr="00000000">
        <w:rPr>
          <w:rtl w:val="0"/>
        </w:rPr>
        <w:t xml:space="preserve">TITLE FOR PROPOSED SUBMISSION</w:t>
      </w:r>
    </w:p>
    <w:p w:rsidR="00000000" w:rsidDel="00000000" w:rsidP="00000000" w:rsidRDefault="00000000" w:rsidRPr="00000000" w14:paraId="0000003D">
      <w:pPr>
        <w:spacing w:after="0" w:line="259"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E">
      <w:pPr>
        <w:spacing w:after="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F">
      <w:pPr>
        <w:pStyle w:val="Heading1"/>
        <w:ind w:firstLine="113"/>
        <w:rPr/>
      </w:pPr>
      <w:r w:rsidDel="00000000" w:rsidR="00000000" w:rsidRPr="00000000">
        <w:rPr>
          <w:rtl w:val="0"/>
        </w:rPr>
        <w:t xml:space="preserve">FORMAT (please consult guidance on article formats and state intended format below)</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1"/>
        <w:ind w:firstLine="113"/>
        <w:rPr/>
      </w:pPr>
      <w:r w:rsidDel="00000000" w:rsidR="00000000" w:rsidRPr="00000000">
        <w:rPr>
          <w:rtl w:val="0"/>
        </w:rPr>
        <w:t xml:space="preserve">PROPOSAL</w:t>
      </w:r>
    </w:p>
    <w:p w:rsidR="00000000" w:rsidDel="00000000" w:rsidP="00000000" w:rsidRDefault="00000000" w:rsidRPr="00000000" w14:paraId="00000043">
      <w:pPr>
        <w:pStyle w:val="Heading2"/>
        <w:rPr>
          <w:sz w:val="22"/>
          <w:szCs w:val="22"/>
        </w:rPr>
      </w:pPr>
      <w:r w:rsidDel="00000000" w:rsidR="00000000" w:rsidRPr="00000000">
        <w:rPr>
          <w:rtl w:val="0"/>
        </w:rPr>
      </w:r>
    </w:p>
    <w:p w:rsidR="00000000" w:rsidDel="00000000" w:rsidP="00000000" w:rsidRDefault="00000000" w:rsidRPr="00000000" w14:paraId="00000044">
      <w:pPr>
        <w:pStyle w:val="Heading2"/>
        <w:rPr>
          <w:sz w:val="22"/>
          <w:szCs w:val="22"/>
        </w:rPr>
      </w:pPr>
      <w:r w:rsidDel="00000000" w:rsidR="00000000" w:rsidRPr="00000000">
        <w:rPr>
          <w:rtl w:val="0"/>
        </w:rPr>
      </w:r>
    </w:p>
    <w:p w:rsidR="00000000" w:rsidDel="00000000" w:rsidP="00000000" w:rsidRDefault="00000000" w:rsidRPr="00000000" w14:paraId="00000045">
      <w:pPr>
        <w:pStyle w:val="Heading2"/>
        <w:rPr>
          <w:sz w:val="22"/>
          <w:szCs w:val="22"/>
        </w:rPr>
      </w:pPr>
      <w:r w:rsidDel="00000000" w:rsidR="00000000" w:rsidRPr="00000000">
        <w:rPr>
          <w:sz w:val="22"/>
          <w:szCs w:val="22"/>
          <w:rtl w:val="0"/>
        </w:rPr>
        <w:t xml:space="preserve">Keywords</w:t>
      </w:r>
    </w:p>
    <w:p w:rsidR="00000000" w:rsidDel="00000000" w:rsidP="00000000" w:rsidRDefault="00000000" w:rsidRPr="00000000" w14:paraId="0000004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48">
      <w:pPr>
        <w:pStyle w:val="Heading2"/>
        <w:rPr>
          <w:sz w:val="22"/>
          <w:szCs w:val="22"/>
        </w:rPr>
      </w:pPr>
      <w:r w:rsidDel="00000000" w:rsidR="00000000" w:rsidRPr="00000000">
        <w:rPr>
          <w:sz w:val="22"/>
          <w:szCs w:val="22"/>
          <w:rtl w:val="0"/>
        </w:rPr>
        <w:t xml:space="preserve">Bio(s):</w:t>
      </w:r>
    </w:p>
    <w:p w:rsidR="00000000" w:rsidDel="00000000" w:rsidP="00000000" w:rsidRDefault="00000000" w:rsidRPr="00000000" w14:paraId="0000004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531" w:left="851" w:right="1440"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Gill San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pBdr>
        <w:top w:color="005a7d" w:space="4" w:sz="4" w:val="single"/>
      </w:pBdr>
      <w:tabs>
        <w:tab w:val="left" w:leader="none" w:pos="9072"/>
      </w:tabs>
      <w:spacing w:after="0" w:line="288" w:lineRule="auto"/>
      <w:rPr>
        <w:rFonts w:ascii="Gill Sans" w:cs="Gill Sans" w:eastAsia="Gill Sans" w:hAnsi="Gill Sans"/>
        <w:i w:val="1"/>
      </w:rPr>
    </w:pPr>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2024</w:t>
    </w:r>
    <w:r w:rsidDel="00000000" w:rsidR="00000000" w:rsidRPr="00000000">
      <w:rPr>
        <w:rFonts w:ascii="Gill Sans" w:cs="Gill Sans" w:eastAsia="Gill Sans" w:hAnsi="Gill Sans"/>
        <w:i w:val="1"/>
        <w:rtl w:val="0"/>
      </w:rPr>
      <w:t xml:space="preserve"> 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pBdr>
        <w:top w:color="005a7d" w:space="4" w:sz="4" w:val="single"/>
      </w:pBdr>
      <w:tabs>
        <w:tab w:val="left" w:leader="none" w:pos="9072"/>
      </w:tabs>
      <w:spacing w:after="0" w:line="288" w:lineRule="auto"/>
      <w:rPr>
        <w:rFonts w:ascii="Gill Sans" w:cs="Gill Sans" w:eastAsia="Gill Sans" w:hAnsi="Gill Sans"/>
        <w:i w:val="1"/>
      </w:rPr>
    </w:pPr>
    <w:bookmarkStart w:colFirst="0" w:colLast="0" w:name="_gjdgxs" w:id="0"/>
    <w:bookmarkEnd w:id="0"/>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2024 </w:t>
    </w:r>
    <w:r w:rsidDel="00000000" w:rsidR="00000000" w:rsidRPr="00000000">
      <w:rPr>
        <w:rFonts w:ascii="Gill Sans" w:cs="Gill Sans" w:eastAsia="Gill Sans" w:hAnsi="Gill Sans"/>
        <w:i w:val="1"/>
        <w:rtl w:val="0"/>
      </w:rPr>
      <w:t xml:space="preserve">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88" w:lineRule="auto"/>
      <w:rPr>
        <w:rFonts w:ascii="Arial" w:cs="Arial" w:eastAsia="Arial" w:hAnsi="Arial"/>
        <w:color w:val="ffffff"/>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-540382</wp:posOffset>
          </wp:positionH>
          <wp:positionV relativeFrom="paragraph">
            <wp:posOffset>-437512</wp:posOffset>
          </wp:positionV>
          <wp:extent cx="7571574" cy="1779783"/>
          <wp:effectExtent b="0" l="0" r="0" t="0"/>
          <wp:wrapSquare wrapText="bothSides" distB="0" distT="0" distL="114300" distR="114300"/>
          <wp:docPr descr="A close up of a logo&#10;&#10;Description automatically generated" id="1" name="image1.jpg"/>
          <a:graphic>
            <a:graphicData uri="http://schemas.openxmlformats.org/drawingml/2006/picture">
              <pic:pic>
                <pic:nvPicPr>
                  <pic:cNvPr descr="A close up of a logo&#10;&#10;Description automatically generated" id="0" name="image1.jpg"/>
                  <pic:cNvPicPr preferRelativeResize="0"/>
                </pic:nvPicPr>
                <pic:blipFill>
                  <a:blip r:embed="rId1"/>
                  <a:srcRect b="0" l="0" r="0" t="0"/>
                  <a:stretch>
                    <a:fillRect/>
                  </a:stretch>
                </pic:blipFill>
                <pic:spPr>
                  <a:xfrm>
                    <a:off x="0" y="0"/>
                    <a:ext cx="7571574" cy="177978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pBdr>
        <w:top w:space="0" w:sz="0" w:val="nil"/>
        <w:left w:space="0" w:sz="0" w:val="nil"/>
        <w:bottom w:color="005a7d" w:space="1" w:sz="4" w:val="single"/>
        <w:right w:space="0" w:sz="0" w:val="nil"/>
        <w:between w:space="0" w:sz="0" w:val="nil"/>
      </w:pBdr>
      <w:spacing w:after="80" w:line="288" w:lineRule="auto"/>
      <w:rPr>
        <w:rFonts w:ascii="Arial" w:cs="Arial" w:eastAsia="Arial" w:hAnsi="Arial"/>
        <w:color w:val="005a7d"/>
      </w:rPr>
    </w:pPr>
    <w:r w:rsidDel="00000000" w:rsidR="00000000" w:rsidRPr="00000000">
      <w:rPr>
        <w:rFonts w:ascii="Arial" w:cs="Arial" w:eastAsia="Arial" w:hAnsi="Arial"/>
        <w:color w:val="005a7d"/>
        <w:rtl w:val="0"/>
      </w:rPr>
      <w:t xml:space="preserve">Journal of Perspectives in Applied Academic Practice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40" w:line="288" w:lineRule="auto"/>
      <w:rPr>
        <w:rFonts w:ascii="Arial" w:cs="Arial" w:eastAsia="Arial" w:hAnsi="Arial"/>
        <w:color w:val="005a7d"/>
      </w:rPr>
    </w:pPr>
    <w:r w:rsidDel="00000000" w:rsidR="00000000" w:rsidRPr="00000000">
      <w:rPr>
        <w:rFonts w:ascii="Arial" w:cs="Arial" w:eastAsia="Arial" w:hAnsi="Arial"/>
        <w:color w:val="005a7d"/>
        <w:rtl w:val="0"/>
      </w:rPr>
      <w:t xml:space="preserve">Creativity in higher education</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EB Garamond" w:cs="EB Garamond" w:eastAsia="EB Garamond" w:hAnsi="EB Garamond"/>
        <w:sz w:val="18"/>
        <w:szCs w:val="18"/>
        <w:lang w:val="en-US"/>
      </w:rPr>
    </w:rPrDefault>
    <w:pPrDefault>
      <w:pPr>
        <w:spacing w:after="1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mailto:Lesley.Mickel.ic@uhi.ac.uk"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GillSans-regular.ttf"/><Relationship Id="rId8"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